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42B4" w14:textId="189F4C01" w:rsidR="00155F03" w:rsidRPr="00A80D3B" w:rsidRDefault="00155F03" w:rsidP="00155F0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F3BE2" w:rsidRPr="000F3BE2">
        <w:rPr>
          <w:rFonts w:ascii="Arial" w:hAnsi="Arial" w:cs="Arial"/>
          <w:b/>
          <w:bCs/>
          <w:sz w:val="28"/>
        </w:rPr>
        <w:t>R1-2203847</w:t>
      </w:r>
    </w:p>
    <w:p w14:paraId="45D2CB78" w14:textId="77777777" w:rsidR="00155F03" w:rsidRPr="009513AC" w:rsidRDefault="00155F03" w:rsidP="00155F03">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4008B7" w14:textId="77777777" w:rsidR="00155F03" w:rsidRDefault="00155F03" w:rsidP="12B0FEDC">
      <w:pPr>
        <w:pStyle w:val="Header"/>
        <w:tabs>
          <w:tab w:val="right" w:pos="7088"/>
          <w:tab w:val="right" w:pos="9781"/>
        </w:tabs>
        <w:rPr>
          <w:rFonts w:eastAsia="Arial" w:cs="Arial"/>
          <w:bCs/>
          <w:noProof w:val="0"/>
          <w:color w:val="000000" w:themeColor="text1"/>
          <w:sz w:val="22"/>
          <w:szCs w:val="22"/>
        </w:rPr>
      </w:pPr>
    </w:p>
    <w:p w14:paraId="72E3E696" w14:textId="321443EB"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Title:</w:t>
      </w:r>
      <w:r>
        <w:tab/>
      </w:r>
      <w:r w:rsidR="001F24A6" w:rsidRPr="001F24A6">
        <w:rPr>
          <w:rFonts w:ascii="Arial" w:eastAsia="Arial" w:hAnsi="Arial" w:cs="Arial"/>
          <w:b/>
          <w:bCs/>
          <w:color w:val="000000" w:themeColor="text1"/>
        </w:rPr>
        <w:t xml:space="preserve">draft reply </w:t>
      </w:r>
      <w:r w:rsidR="001F24A6">
        <w:rPr>
          <w:rFonts w:ascii="Arial" w:eastAsia="Arial" w:hAnsi="Arial" w:cs="Arial"/>
          <w:b/>
          <w:bCs/>
          <w:color w:val="000000" w:themeColor="text1"/>
        </w:rPr>
        <w:t>o</w:t>
      </w:r>
      <w:r w:rsidRPr="12B0FEDC">
        <w:rPr>
          <w:rFonts w:ascii="Arial" w:eastAsia="Arial" w:hAnsi="Arial" w:cs="Arial"/>
          <w:b/>
          <w:bCs/>
          <w:color w:val="000000" w:themeColor="text1"/>
        </w:rPr>
        <w:t xml:space="preserve">n </w:t>
      </w:r>
      <w:r w:rsidR="00761600">
        <w:rPr>
          <w:rFonts w:ascii="Arial" w:eastAsia="Arial" w:hAnsi="Arial" w:cs="Arial"/>
          <w:b/>
          <w:bCs/>
          <w:color w:val="000000" w:themeColor="text1"/>
        </w:rPr>
        <w:t xml:space="preserve">applicable number of PFL </w:t>
      </w:r>
      <w:r w:rsidR="00C4576B">
        <w:rPr>
          <w:rFonts w:ascii="Arial" w:eastAsia="Arial" w:hAnsi="Arial" w:cs="Arial"/>
          <w:b/>
          <w:bCs/>
          <w:color w:val="000000" w:themeColor="text1"/>
        </w:rPr>
        <w:t>for</w:t>
      </w:r>
      <w:r w:rsidR="00761600">
        <w:rPr>
          <w:rFonts w:ascii="Arial" w:eastAsia="Arial" w:hAnsi="Arial" w:cs="Arial"/>
          <w:b/>
          <w:bCs/>
          <w:color w:val="000000" w:themeColor="text1"/>
        </w:rPr>
        <w:t xml:space="preserve"> </w:t>
      </w:r>
      <w:r w:rsidR="00605316">
        <w:rPr>
          <w:rFonts w:ascii="Arial" w:eastAsia="Arial" w:hAnsi="Arial" w:cs="Arial"/>
          <w:b/>
          <w:bCs/>
          <w:color w:val="000000" w:themeColor="text1"/>
        </w:rPr>
        <w:t xml:space="preserve">the </w:t>
      </w:r>
      <w:r w:rsidR="00761600">
        <w:rPr>
          <w:rFonts w:ascii="Arial" w:eastAsia="Arial" w:hAnsi="Arial" w:cs="Arial"/>
          <w:b/>
          <w:bCs/>
          <w:color w:val="000000" w:themeColor="text1"/>
        </w:rPr>
        <w:t>gapless PRS measurement</w:t>
      </w:r>
    </w:p>
    <w:p w14:paraId="3D1AE25D" w14:textId="18953993"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Response to:</w:t>
      </w:r>
      <w:r>
        <w:tab/>
      </w:r>
    </w:p>
    <w:p w14:paraId="4B34CACE" w14:textId="5BDC2F9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Release:</w:t>
      </w:r>
      <w:r>
        <w:tab/>
      </w:r>
      <w:r w:rsidRPr="12B0FEDC">
        <w:rPr>
          <w:rFonts w:ascii="Arial" w:eastAsia="Arial" w:hAnsi="Arial" w:cs="Arial"/>
          <w:b/>
          <w:bCs/>
          <w:color w:val="000000" w:themeColor="text1"/>
        </w:rPr>
        <w:t>Rel-17</w:t>
      </w:r>
    </w:p>
    <w:p w14:paraId="3A243768" w14:textId="1E23508A"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Work Item:</w:t>
      </w:r>
      <w:r>
        <w:tab/>
      </w:r>
      <w:r w:rsidRPr="00FC3A1D">
        <w:rPr>
          <w:rFonts w:ascii="Arial" w:eastAsia="Arial" w:hAnsi="Arial" w:cs="Arial"/>
          <w:b/>
          <w:bCs/>
          <w:color w:val="000000" w:themeColor="text1"/>
        </w:rPr>
        <w:t>NR_</w:t>
      </w:r>
      <w:r w:rsidRPr="00EB0116">
        <w:rPr>
          <w:rFonts w:ascii="Arial" w:eastAsia="Arial" w:hAnsi="Arial" w:cs="Arial"/>
          <w:b/>
          <w:bCs/>
          <w:color w:val="000000" w:themeColor="text1"/>
          <w:lang w:val="en-US"/>
        </w:rPr>
        <w:t>p</w:t>
      </w:r>
      <w:r w:rsidRPr="00FC3A1D">
        <w:rPr>
          <w:rFonts w:ascii="Arial" w:eastAsia="Arial" w:hAnsi="Arial" w:cs="Arial"/>
          <w:b/>
          <w:bCs/>
          <w:color w:val="000000" w:themeColor="text1"/>
          <w:lang w:val="en-US"/>
        </w:rPr>
        <w:t>os</w:t>
      </w:r>
      <w:r w:rsidRPr="00FC3A1D">
        <w:rPr>
          <w:rFonts w:ascii="Arial" w:eastAsia="Arial" w:hAnsi="Arial" w:cs="Arial"/>
          <w:b/>
          <w:bCs/>
          <w:color w:val="000000" w:themeColor="text1"/>
        </w:rPr>
        <w:t>_enh-Core</w:t>
      </w:r>
    </w:p>
    <w:p w14:paraId="0ACB0C05" w14:textId="68676FA6" w:rsidR="12B0FEDC" w:rsidRDefault="12B0FEDC" w:rsidP="12B0FEDC">
      <w:pPr>
        <w:spacing w:after="60"/>
        <w:ind w:left="1985" w:hanging="1985"/>
        <w:rPr>
          <w:rFonts w:ascii="Arial" w:eastAsia="Arial" w:hAnsi="Arial" w:cs="Arial"/>
          <w:color w:val="000000" w:themeColor="text1"/>
        </w:rPr>
      </w:pPr>
    </w:p>
    <w:p w14:paraId="12C48F60" w14:textId="6228D485"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Source:</w:t>
      </w:r>
      <w:r>
        <w:tab/>
      </w:r>
      <w:r w:rsidRPr="12B0FEDC">
        <w:rPr>
          <w:rFonts w:ascii="Arial" w:eastAsia="Arial" w:hAnsi="Arial" w:cs="Arial"/>
          <w:b/>
          <w:bCs/>
          <w:color w:val="000000" w:themeColor="text1"/>
        </w:rPr>
        <w:t>RAN WG</w:t>
      </w:r>
      <w:r w:rsidR="001F24A6">
        <w:rPr>
          <w:rFonts w:ascii="Arial" w:eastAsia="Arial" w:hAnsi="Arial" w:cs="Arial"/>
          <w:b/>
          <w:bCs/>
          <w:color w:val="000000" w:themeColor="text1"/>
        </w:rPr>
        <w:t>1</w:t>
      </w:r>
    </w:p>
    <w:p w14:paraId="5728893F" w14:textId="3A1D9F96"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To:</w:t>
      </w:r>
      <w:r>
        <w:tab/>
      </w:r>
      <w:r w:rsidRPr="12B0FEDC">
        <w:rPr>
          <w:rFonts w:ascii="Arial" w:eastAsia="Arial" w:hAnsi="Arial" w:cs="Arial"/>
          <w:b/>
          <w:bCs/>
          <w:color w:val="000000" w:themeColor="text1"/>
        </w:rPr>
        <w:t>RAN WG</w:t>
      </w:r>
      <w:r w:rsidR="001F24A6">
        <w:rPr>
          <w:rFonts w:ascii="Arial" w:eastAsia="Arial" w:hAnsi="Arial" w:cs="Arial"/>
          <w:b/>
          <w:bCs/>
          <w:color w:val="000000" w:themeColor="text1"/>
        </w:rPr>
        <w:t>4</w:t>
      </w:r>
    </w:p>
    <w:p w14:paraId="041A92FA" w14:textId="5B9FB503" w:rsidR="12B0FEDC" w:rsidRDefault="12B0FEDC" w:rsidP="12B0FEDC">
      <w:pPr>
        <w:spacing w:after="60"/>
        <w:ind w:left="1985" w:hanging="1985"/>
        <w:rPr>
          <w:rFonts w:ascii="Arial" w:eastAsia="Arial" w:hAnsi="Arial" w:cs="Arial"/>
          <w:color w:val="000000" w:themeColor="text1"/>
        </w:rPr>
      </w:pPr>
    </w:p>
    <w:p w14:paraId="42B1FB23" w14:textId="1F6EA23D" w:rsidR="132B33F4" w:rsidRDefault="132B33F4" w:rsidP="12B0FEDC">
      <w:pPr>
        <w:tabs>
          <w:tab w:val="left" w:pos="2268"/>
        </w:tabs>
        <w:rPr>
          <w:rFonts w:ascii="Arial" w:eastAsia="Arial" w:hAnsi="Arial" w:cs="Arial"/>
          <w:color w:val="000000" w:themeColor="text1"/>
        </w:rPr>
      </w:pPr>
      <w:r w:rsidRPr="12B0FEDC">
        <w:rPr>
          <w:rFonts w:ascii="Arial" w:eastAsia="Arial" w:hAnsi="Arial" w:cs="Arial"/>
          <w:b/>
          <w:bCs/>
          <w:color w:val="000000" w:themeColor="text1"/>
        </w:rPr>
        <w:t>Contact Person:</w:t>
      </w:r>
      <w:r>
        <w:tab/>
      </w:r>
    </w:p>
    <w:p w14:paraId="06F7036E" w14:textId="7168F25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Name:</w:t>
      </w:r>
      <w:r>
        <w:tab/>
      </w:r>
      <w:r w:rsidR="001F24A6">
        <w:rPr>
          <w:rFonts w:ascii="Arial" w:eastAsia="Arial" w:hAnsi="Arial" w:cs="Arial"/>
          <w:b/>
          <w:bCs/>
          <w:color w:val="000000" w:themeColor="text1"/>
        </w:rPr>
        <w:t>Qi Xiong</w:t>
      </w:r>
      <w:r>
        <w:tab/>
      </w:r>
    </w:p>
    <w:p w14:paraId="5CDC6930" w14:textId="41F3A65F" w:rsidR="132B33F4" w:rsidRPr="00155F03" w:rsidRDefault="132B33F4" w:rsidP="12B0FEDC">
      <w:pPr>
        <w:spacing w:after="60"/>
        <w:ind w:left="1985" w:hanging="1985"/>
        <w:rPr>
          <w:rFonts w:ascii="Arial" w:eastAsia="Arial" w:hAnsi="Arial" w:cs="Arial"/>
          <w:color w:val="000000" w:themeColor="text1"/>
          <w:lang w:val="fr-FR"/>
        </w:rPr>
      </w:pPr>
      <w:r w:rsidRPr="00155F03">
        <w:rPr>
          <w:rFonts w:ascii="Arial" w:eastAsia="Arial" w:hAnsi="Arial" w:cs="Arial"/>
          <w:b/>
          <w:bCs/>
          <w:color w:val="000000" w:themeColor="text1"/>
          <w:lang w:val="fr-FR"/>
        </w:rPr>
        <w:t xml:space="preserve">E-mail </w:t>
      </w:r>
      <w:proofErr w:type="spellStart"/>
      <w:proofErr w:type="gramStart"/>
      <w:r w:rsidRPr="00155F03">
        <w:rPr>
          <w:rFonts w:ascii="Arial" w:eastAsia="Arial" w:hAnsi="Arial" w:cs="Arial"/>
          <w:b/>
          <w:bCs/>
          <w:color w:val="000000" w:themeColor="text1"/>
          <w:lang w:val="fr-FR"/>
        </w:rPr>
        <w:t>Address</w:t>
      </w:r>
      <w:proofErr w:type="spellEnd"/>
      <w:r w:rsidRPr="00155F03">
        <w:rPr>
          <w:rFonts w:ascii="Arial" w:eastAsia="Arial" w:hAnsi="Arial" w:cs="Arial"/>
          <w:b/>
          <w:bCs/>
          <w:color w:val="000000" w:themeColor="text1"/>
          <w:lang w:val="fr-FR"/>
        </w:rPr>
        <w:t>:</w:t>
      </w:r>
      <w:proofErr w:type="gramEnd"/>
      <w:r w:rsidRPr="00155F03">
        <w:rPr>
          <w:lang w:val="fr-FR"/>
        </w:rPr>
        <w:tab/>
      </w:r>
      <w:hyperlink r:id="rId11" w:history="1">
        <w:r w:rsidR="001F24A6" w:rsidRPr="008027B2">
          <w:rPr>
            <w:rStyle w:val="Hyperlink"/>
            <w:rFonts w:ascii="Arial" w:eastAsia="Arial" w:hAnsi="Arial" w:cs="Arial"/>
            <w:b/>
            <w:bCs/>
            <w:lang w:val="fr-FR"/>
          </w:rPr>
          <w:t>q1005.xiong@samsung.com</w:t>
        </w:r>
      </w:hyperlink>
      <w:r w:rsidR="001F24A6">
        <w:rPr>
          <w:rFonts w:ascii="Arial" w:eastAsia="Arial" w:hAnsi="Arial" w:cs="Arial"/>
          <w:b/>
          <w:bCs/>
          <w:lang w:val="fr-FR"/>
        </w:rPr>
        <w:t xml:space="preserve">   </w:t>
      </w:r>
    </w:p>
    <w:p w14:paraId="3A7B374B" w14:textId="4BC93D29" w:rsidR="12B0FEDC" w:rsidRPr="00155F03" w:rsidRDefault="12B0FEDC" w:rsidP="12B0FEDC">
      <w:pPr>
        <w:spacing w:after="60"/>
        <w:rPr>
          <w:rFonts w:ascii="Arial" w:eastAsia="Arial" w:hAnsi="Arial" w:cs="Arial"/>
          <w:color w:val="000000" w:themeColor="text1"/>
          <w:lang w:val="fr-FR"/>
        </w:rPr>
      </w:pPr>
    </w:p>
    <w:p w14:paraId="5EB8C57C" w14:textId="3761D10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Attachments:</w:t>
      </w:r>
    </w:p>
    <w:p w14:paraId="4267C865" w14:textId="06F6A049" w:rsidR="12B0FEDC" w:rsidRDefault="12B0FEDC" w:rsidP="12B0FEDC">
      <w:pPr>
        <w:rPr>
          <w:rFonts w:ascii="Arial" w:eastAsia="Arial" w:hAnsi="Arial" w:cs="Arial"/>
          <w:color w:val="000000" w:themeColor="text1"/>
        </w:rPr>
      </w:pPr>
    </w:p>
    <w:p w14:paraId="75061B72" w14:textId="6D549808" w:rsidR="12B0FEDC" w:rsidRDefault="12B0FEDC" w:rsidP="12B0FEDC">
      <w:pPr>
        <w:rPr>
          <w:rFonts w:ascii="Arial" w:eastAsia="Arial" w:hAnsi="Arial" w:cs="Arial"/>
          <w:color w:val="000000" w:themeColor="text1"/>
        </w:rPr>
      </w:pPr>
    </w:p>
    <w:p w14:paraId="2E09DCE1" w14:textId="259AE6D9"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1. Overall Description:</w:t>
      </w:r>
    </w:p>
    <w:p w14:paraId="3E0A7DFC" w14:textId="34EA1444" w:rsidR="12B0FEDC" w:rsidRDefault="00761600" w:rsidP="00D85EDE">
      <w:pPr>
        <w:spacing w:after="120"/>
        <w:rPr>
          <w:rFonts w:ascii="Arial" w:eastAsia="Arial" w:hAnsi="Arial" w:cs="Arial"/>
          <w:color w:val="000000" w:themeColor="text1"/>
        </w:rPr>
      </w:pPr>
      <w:r>
        <w:rPr>
          <w:rFonts w:ascii="Arial" w:eastAsia="Arial" w:hAnsi="Arial" w:cs="Arial"/>
          <w:color w:val="000000" w:themeColor="text1"/>
        </w:rPr>
        <w:t>RAN</w:t>
      </w:r>
      <w:r w:rsidR="001F24A6">
        <w:rPr>
          <w:rFonts w:ascii="Arial" w:eastAsia="Arial" w:hAnsi="Arial" w:cs="Arial"/>
          <w:color w:val="000000" w:themeColor="text1"/>
        </w:rPr>
        <w:t xml:space="preserve">1 would like to thank RAN4’s </w:t>
      </w:r>
      <w:r w:rsidR="00D85EDE">
        <w:rPr>
          <w:rFonts w:ascii="Arial" w:eastAsia="Arial" w:hAnsi="Arial" w:cs="Arial"/>
          <w:color w:val="000000" w:themeColor="text1"/>
        </w:rPr>
        <w:t xml:space="preserve">question </w:t>
      </w:r>
      <w:r w:rsidR="00461E8E">
        <w:rPr>
          <w:rFonts w:ascii="Arial" w:eastAsia="Arial" w:hAnsi="Arial" w:cs="Arial"/>
          <w:color w:val="000000" w:themeColor="text1"/>
        </w:rPr>
        <w:t xml:space="preserve">[1] </w:t>
      </w:r>
      <w:r w:rsidR="00D85EDE">
        <w:rPr>
          <w:rFonts w:ascii="Arial" w:eastAsia="Arial" w:hAnsi="Arial" w:cs="Arial"/>
          <w:color w:val="000000" w:themeColor="text1"/>
        </w:rPr>
        <w:t>on</w:t>
      </w:r>
      <w:r>
        <w:rPr>
          <w:rFonts w:ascii="Arial" w:eastAsia="Arial" w:hAnsi="Arial" w:cs="Arial"/>
          <w:color w:val="000000" w:themeColor="text1"/>
        </w:rPr>
        <w:t xml:space="preserve"> applicable number of PFL </w:t>
      </w:r>
      <w:r w:rsidR="00D40FBF">
        <w:rPr>
          <w:rFonts w:ascii="Arial" w:eastAsia="Arial" w:hAnsi="Arial" w:cs="Arial"/>
          <w:color w:val="000000" w:themeColor="text1"/>
        </w:rPr>
        <w:t>for</w:t>
      </w:r>
      <w:r>
        <w:rPr>
          <w:rFonts w:ascii="Arial" w:eastAsia="Arial" w:hAnsi="Arial" w:cs="Arial"/>
          <w:color w:val="000000" w:themeColor="text1"/>
        </w:rPr>
        <w:t xml:space="preserve"> </w:t>
      </w:r>
      <w:r w:rsidR="00542F71">
        <w:rPr>
          <w:rFonts w:ascii="Arial" w:eastAsia="Arial" w:hAnsi="Arial" w:cs="Arial"/>
          <w:color w:val="000000" w:themeColor="text1"/>
        </w:rPr>
        <w:t xml:space="preserve">the </w:t>
      </w:r>
      <w:r>
        <w:rPr>
          <w:rFonts w:ascii="Arial" w:eastAsia="Arial" w:hAnsi="Arial" w:cs="Arial"/>
          <w:color w:val="000000" w:themeColor="text1"/>
        </w:rPr>
        <w:t>gapless PRS measurement</w:t>
      </w:r>
      <w:r w:rsidR="00D85EDE">
        <w:rPr>
          <w:rFonts w:ascii="Arial" w:eastAsia="Arial" w:hAnsi="Arial" w:cs="Arial"/>
          <w:color w:val="000000" w:themeColor="text1"/>
        </w:rPr>
        <w:t>, and also inform the related agreement RAN1 has made:</w:t>
      </w:r>
    </w:p>
    <w:p w14:paraId="1842F4AD" w14:textId="5BB15ED9" w:rsidR="00D85EDE" w:rsidRDefault="00D85EDE" w:rsidP="00D85EDE">
      <w:pPr>
        <w:spacing w:after="120"/>
        <w:rPr>
          <w:rFonts w:ascii="Arial" w:eastAsia="Arial" w:hAnsi="Arial" w:cs="Arial"/>
          <w:color w:val="000000" w:themeColor="text1"/>
        </w:rPr>
      </w:pPr>
    </w:p>
    <w:p w14:paraId="362FE3B4" w14:textId="39E28EB3" w:rsidR="00813BFF" w:rsidRDefault="00FA64BB" w:rsidP="00D85EDE">
      <w:pPr>
        <w:spacing w:after="120"/>
        <w:rPr>
          <w:rFonts w:ascii="Arial" w:eastAsia="Arial" w:hAnsi="Arial" w:cs="Arial"/>
          <w:color w:val="000000" w:themeColor="text1"/>
        </w:rPr>
      </w:pPr>
      <w:r>
        <w:rPr>
          <w:noProof/>
        </w:rPr>
        <mc:AlternateContent>
          <mc:Choice Requires="wps">
            <w:drawing>
              <wp:anchor distT="0" distB="0" distL="114300" distR="114300" simplePos="0" relativeHeight="251659264" behindDoc="0" locked="0" layoutInCell="1" allowOverlap="1" wp14:anchorId="438928F1" wp14:editId="7FF47D1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55BE93" w14:textId="77777777" w:rsidR="00FA64BB" w:rsidRPr="0081327B" w:rsidRDefault="00FA64BB" w:rsidP="00813BFF">
                            <w:pPr>
                              <w:rPr>
                                <w:b/>
                                <w:bCs/>
                                <w:highlight w:val="green"/>
                                <w:lang w:eastAsia="zh-CN"/>
                              </w:rPr>
                            </w:pPr>
                            <w:r w:rsidRPr="0081327B">
                              <w:rPr>
                                <w:b/>
                                <w:bCs/>
                                <w:highlight w:val="green"/>
                                <w:lang w:eastAsia="zh-CN"/>
                              </w:rPr>
                              <w:t>Agreement</w:t>
                            </w:r>
                          </w:p>
                          <w:p w14:paraId="037D025F"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The PRS processing window is configured per DL BWP.</w:t>
                            </w:r>
                          </w:p>
                          <w:p w14:paraId="6DD09860"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 xml:space="preserve">Processing type, to be selected from 1A, 1B and 2, will be provided associated with the PRS processing window if and only if multiple processing types per band in the UE capability </w:t>
                            </w:r>
                            <w:proofErr w:type="spellStart"/>
                            <w:r w:rsidRPr="0081327B">
                              <w:rPr>
                                <w:rFonts w:eastAsia="Times New Roman"/>
                              </w:rPr>
                              <w:t>signaling</w:t>
                            </w:r>
                            <w:proofErr w:type="spellEnd"/>
                            <w:r w:rsidRPr="0081327B">
                              <w:rPr>
                                <w:rFonts w:eastAsia="Times New Roman"/>
                              </w:rPr>
                              <w:t xml:space="preserve"> is supported.</w:t>
                            </w:r>
                          </w:p>
                          <w:p w14:paraId="76729EF8"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No need to provide band ID and CC ID associated with the PRS processing window.</w:t>
                            </w:r>
                          </w:p>
                          <w:p w14:paraId="2649994A"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A single priority indicator is provided for a PRS processing window, which applies to all PRS within the PRS processing window for the corresponding DL BWP.</w:t>
                            </w:r>
                          </w:p>
                          <w:p w14:paraId="708A75D6"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hint="eastAsia"/>
                              </w:rPr>
                              <w:t xml:space="preserve">The maximum number of activated PRS processing windows per </w:t>
                            </w:r>
                            <w:r w:rsidRPr="0081327B">
                              <w:rPr>
                                <w:rFonts w:eastAsia="Times New Roman"/>
                              </w:rPr>
                              <w:t xml:space="preserve">DL </w:t>
                            </w:r>
                            <w:r w:rsidRPr="0081327B">
                              <w:rPr>
                                <w:rFonts w:eastAsia="Times New Roman" w:hint="eastAsia"/>
                              </w:rPr>
                              <w:t>BWP is 1.</w:t>
                            </w:r>
                          </w:p>
                          <w:p w14:paraId="0AD7774D"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hint="eastAsia"/>
                              </w:rPr>
                              <w:t>The maximum number of activated PRS processing windows across all active DL BWP</w:t>
                            </w:r>
                            <w:r w:rsidRPr="0081327B">
                              <w:rPr>
                                <w:rFonts w:eastAsia="Times New Roman"/>
                              </w:rPr>
                              <w:t>s</w:t>
                            </w:r>
                            <w:r w:rsidRPr="0081327B">
                              <w:rPr>
                                <w:rFonts w:eastAsia="Times New Roman" w:hint="eastAsia"/>
                              </w:rPr>
                              <w:t xml:space="preserve"> is 4.</w:t>
                            </w:r>
                          </w:p>
                          <w:p w14:paraId="07086F76" w14:textId="77777777" w:rsidR="00FA64BB" w:rsidRPr="0081327B" w:rsidRDefault="00FA64BB" w:rsidP="00813BFF">
                            <w:pPr>
                              <w:numPr>
                                <w:ilvl w:val="1"/>
                                <w:numId w:val="48"/>
                              </w:numPr>
                              <w:overflowPunct w:val="0"/>
                              <w:autoSpaceDE w:val="0"/>
                              <w:autoSpaceDN w:val="0"/>
                              <w:spacing w:after="0" w:line="252" w:lineRule="auto"/>
                              <w:jc w:val="both"/>
                              <w:rPr>
                                <w:rFonts w:eastAsia="Times New Roman"/>
                              </w:rPr>
                            </w:pPr>
                            <w:r w:rsidRPr="0081327B">
                              <w:rPr>
                                <w:rFonts w:eastAsia="Times New Roman" w:hint="eastAsia"/>
                              </w:rPr>
                              <w:t xml:space="preserve">The maximum number of activated PRS processing windows </w:t>
                            </w:r>
                            <w:r w:rsidRPr="0081327B">
                              <w:rPr>
                                <w:rFonts w:eastAsia="Times New Roman"/>
                              </w:rPr>
                              <w:t xml:space="preserve">overlapping in time </w:t>
                            </w:r>
                            <w:r w:rsidRPr="0081327B">
                              <w:rPr>
                                <w:rFonts w:eastAsia="Times New Roman" w:hint="eastAsia"/>
                              </w:rPr>
                              <w:t>across all active DL BWP</w:t>
                            </w:r>
                            <w:r w:rsidRPr="0081327B">
                              <w:rPr>
                                <w:rFonts w:eastAsia="Times New Roman"/>
                              </w:rPr>
                              <w:t>s</w:t>
                            </w:r>
                            <w:r w:rsidRPr="0081327B">
                              <w:rPr>
                                <w:rFonts w:eastAsia="Times New Roman" w:hint="eastAsia"/>
                              </w:rPr>
                              <w:t xml:space="preserve"> is 1</w:t>
                            </w:r>
                          </w:p>
                          <w:p w14:paraId="69A8B4F7" w14:textId="77777777" w:rsidR="00FA64BB" w:rsidRDefault="00FA64BB" w:rsidP="00D85EDE">
                            <w:pPr>
                              <w:spacing w:after="120"/>
                              <w:rPr>
                                <w:rFonts w:ascii="Arial" w:eastAsia="Arial" w:hAnsi="Arial" w:cs="Arial"/>
                                <w:color w:val="000000" w:themeColor="text1"/>
                              </w:rPr>
                            </w:pPr>
                          </w:p>
                          <w:p w14:paraId="0833634A" w14:textId="77777777" w:rsidR="00FA64BB" w:rsidRPr="0081327B" w:rsidRDefault="00FA64BB" w:rsidP="00813BFF">
                            <w:pPr>
                              <w:rPr>
                                <w:b/>
                                <w:bCs/>
                                <w:highlight w:val="green"/>
                                <w:lang w:eastAsia="zh-CN"/>
                              </w:rPr>
                            </w:pPr>
                            <w:r w:rsidRPr="0081327B">
                              <w:rPr>
                                <w:b/>
                                <w:bCs/>
                                <w:highlight w:val="green"/>
                                <w:lang w:eastAsia="zh-CN"/>
                              </w:rPr>
                              <w:t>Agreement</w:t>
                            </w:r>
                          </w:p>
                          <w:p w14:paraId="3674D584" w14:textId="77777777" w:rsidR="00FA64BB" w:rsidRPr="008C1B97" w:rsidRDefault="00FA64BB" w:rsidP="008C1B97">
                            <w:pPr>
                              <w:rPr>
                                <w:lang w:eastAsia="x-none"/>
                              </w:rPr>
                            </w:pPr>
                            <w:r>
                              <w:rPr>
                                <w:rFonts w:hint="eastAsia"/>
                                <w:lang w:eastAsia="x-none"/>
                              </w:rPr>
                              <w:t>Inside each single instance of a PRS processing window, a single PFL can be measured. This is applicable to all Types of MG-less PRS processing.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8928F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5B55BE93" w14:textId="77777777" w:rsidR="00FA64BB" w:rsidRPr="0081327B" w:rsidRDefault="00FA64BB" w:rsidP="00813BFF">
                      <w:pPr>
                        <w:rPr>
                          <w:b/>
                          <w:bCs/>
                          <w:highlight w:val="green"/>
                          <w:lang w:eastAsia="zh-CN"/>
                        </w:rPr>
                      </w:pPr>
                      <w:r w:rsidRPr="0081327B">
                        <w:rPr>
                          <w:b/>
                          <w:bCs/>
                          <w:highlight w:val="green"/>
                          <w:lang w:eastAsia="zh-CN"/>
                        </w:rPr>
                        <w:t>Agreement</w:t>
                      </w:r>
                    </w:p>
                    <w:p w14:paraId="037D025F"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The PRS processing window is configured per DL BWP.</w:t>
                      </w:r>
                    </w:p>
                    <w:p w14:paraId="6DD09860"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 xml:space="preserve">Processing type, to be selected from 1A, 1B and 2, will be provided associated with the PRS processing window if and only if multiple processing types per band in the UE capability </w:t>
                      </w:r>
                      <w:proofErr w:type="spellStart"/>
                      <w:r w:rsidRPr="0081327B">
                        <w:rPr>
                          <w:rFonts w:eastAsia="Times New Roman"/>
                        </w:rPr>
                        <w:t>signaling</w:t>
                      </w:r>
                      <w:proofErr w:type="spellEnd"/>
                      <w:r w:rsidRPr="0081327B">
                        <w:rPr>
                          <w:rFonts w:eastAsia="Times New Roman"/>
                        </w:rPr>
                        <w:t xml:space="preserve"> is supported.</w:t>
                      </w:r>
                    </w:p>
                    <w:p w14:paraId="76729EF8"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No need to provide band ID and CC ID associated with the PRS processing window.</w:t>
                      </w:r>
                    </w:p>
                    <w:p w14:paraId="2649994A"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rPr>
                        <w:t>A single priority indicator is provided for a PRS processing window, which applies to all PRS within the PRS processing window for the corresponding DL BWP.</w:t>
                      </w:r>
                    </w:p>
                    <w:p w14:paraId="708A75D6"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hint="eastAsia"/>
                        </w:rPr>
                        <w:t xml:space="preserve">The maximum number of activated PRS processing windows per </w:t>
                      </w:r>
                      <w:r w:rsidRPr="0081327B">
                        <w:rPr>
                          <w:rFonts w:eastAsia="Times New Roman"/>
                        </w:rPr>
                        <w:t xml:space="preserve">DL </w:t>
                      </w:r>
                      <w:r w:rsidRPr="0081327B">
                        <w:rPr>
                          <w:rFonts w:eastAsia="Times New Roman" w:hint="eastAsia"/>
                        </w:rPr>
                        <w:t>BWP is 1.</w:t>
                      </w:r>
                    </w:p>
                    <w:p w14:paraId="0AD7774D" w14:textId="77777777" w:rsidR="00FA64BB" w:rsidRPr="0081327B" w:rsidRDefault="00FA64BB" w:rsidP="00813BFF">
                      <w:pPr>
                        <w:numPr>
                          <w:ilvl w:val="0"/>
                          <w:numId w:val="48"/>
                        </w:numPr>
                        <w:overflowPunct w:val="0"/>
                        <w:autoSpaceDE w:val="0"/>
                        <w:autoSpaceDN w:val="0"/>
                        <w:spacing w:after="0" w:line="252" w:lineRule="auto"/>
                        <w:jc w:val="both"/>
                        <w:rPr>
                          <w:rFonts w:eastAsia="Times New Roman"/>
                        </w:rPr>
                      </w:pPr>
                      <w:r w:rsidRPr="0081327B">
                        <w:rPr>
                          <w:rFonts w:eastAsia="Times New Roman" w:hint="eastAsia"/>
                        </w:rPr>
                        <w:t>The maximum number of activated PRS processing windows across all active DL BWP</w:t>
                      </w:r>
                      <w:r w:rsidRPr="0081327B">
                        <w:rPr>
                          <w:rFonts w:eastAsia="Times New Roman"/>
                        </w:rPr>
                        <w:t>s</w:t>
                      </w:r>
                      <w:r w:rsidRPr="0081327B">
                        <w:rPr>
                          <w:rFonts w:eastAsia="Times New Roman" w:hint="eastAsia"/>
                        </w:rPr>
                        <w:t xml:space="preserve"> is 4.</w:t>
                      </w:r>
                    </w:p>
                    <w:p w14:paraId="07086F76" w14:textId="77777777" w:rsidR="00FA64BB" w:rsidRPr="0081327B" w:rsidRDefault="00FA64BB" w:rsidP="00813BFF">
                      <w:pPr>
                        <w:numPr>
                          <w:ilvl w:val="1"/>
                          <w:numId w:val="48"/>
                        </w:numPr>
                        <w:overflowPunct w:val="0"/>
                        <w:autoSpaceDE w:val="0"/>
                        <w:autoSpaceDN w:val="0"/>
                        <w:spacing w:after="0" w:line="252" w:lineRule="auto"/>
                        <w:jc w:val="both"/>
                        <w:rPr>
                          <w:rFonts w:eastAsia="Times New Roman"/>
                        </w:rPr>
                      </w:pPr>
                      <w:r w:rsidRPr="0081327B">
                        <w:rPr>
                          <w:rFonts w:eastAsia="Times New Roman" w:hint="eastAsia"/>
                        </w:rPr>
                        <w:t xml:space="preserve">The maximum number of activated PRS processing windows </w:t>
                      </w:r>
                      <w:r w:rsidRPr="0081327B">
                        <w:rPr>
                          <w:rFonts w:eastAsia="Times New Roman"/>
                        </w:rPr>
                        <w:t xml:space="preserve">overlapping in time </w:t>
                      </w:r>
                      <w:r w:rsidRPr="0081327B">
                        <w:rPr>
                          <w:rFonts w:eastAsia="Times New Roman" w:hint="eastAsia"/>
                        </w:rPr>
                        <w:t>across all active DL BWP</w:t>
                      </w:r>
                      <w:r w:rsidRPr="0081327B">
                        <w:rPr>
                          <w:rFonts w:eastAsia="Times New Roman"/>
                        </w:rPr>
                        <w:t>s</w:t>
                      </w:r>
                      <w:r w:rsidRPr="0081327B">
                        <w:rPr>
                          <w:rFonts w:eastAsia="Times New Roman" w:hint="eastAsia"/>
                        </w:rPr>
                        <w:t xml:space="preserve"> is 1</w:t>
                      </w:r>
                    </w:p>
                    <w:p w14:paraId="69A8B4F7" w14:textId="77777777" w:rsidR="00FA64BB" w:rsidRDefault="00FA64BB" w:rsidP="00D85EDE">
                      <w:pPr>
                        <w:spacing w:after="120"/>
                        <w:rPr>
                          <w:rFonts w:ascii="Arial" w:eastAsia="Arial" w:hAnsi="Arial" w:cs="Arial"/>
                          <w:color w:val="000000" w:themeColor="text1"/>
                        </w:rPr>
                      </w:pPr>
                    </w:p>
                    <w:p w14:paraId="0833634A" w14:textId="77777777" w:rsidR="00FA64BB" w:rsidRPr="0081327B" w:rsidRDefault="00FA64BB" w:rsidP="00813BFF">
                      <w:pPr>
                        <w:rPr>
                          <w:b/>
                          <w:bCs/>
                          <w:highlight w:val="green"/>
                          <w:lang w:eastAsia="zh-CN"/>
                        </w:rPr>
                      </w:pPr>
                      <w:r w:rsidRPr="0081327B">
                        <w:rPr>
                          <w:b/>
                          <w:bCs/>
                          <w:highlight w:val="green"/>
                          <w:lang w:eastAsia="zh-CN"/>
                        </w:rPr>
                        <w:t>Agreement</w:t>
                      </w:r>
                    </w:p>
                    <w:p w14:paraId="3674D584" w14:textId="77777777" w:rsidR="00FA64BB" w:rsidRPr="008C1B97" w:rsidRDefault="00FA64BB" w:rsidP="008C1B97">
                      <w:pPr>
                        <w:rPr>
                          <w:lang w:eastAsia="x-none"/>
                        </w:rPr>
                      </w:pPr>
                      <w:r>
                        <w:rPr>
                          <w:rFonts w:hint="eastAsia"/>
                          <w:lang w:eastAsia="x-none"/>
                        </w:rPr>
                        <w:t>Inside each single instance of a PRS processing window, a single PFL can be measured. This is applicable to all Types of MG-less PRS processing.</w:t>
                      </w:r>
                    </w:p>
                  </w:txbxContent>
                </v:textbox>
                <w10:wrap type="square"/>
              </v:shape>
            </w:pict>
          </mc:Fallback>
        </mc:AlternateContent>
      </w:r>
    </w:p>
    <w:p w14:paraId="0B6794C2" w14:textId="17D79339" w:rsidR="0051257D" w:rsidRDefault="0051257D" w:rsidP="12B0FEDC">
      <w:pPr>
        <w:spacing w:after="120"/>
        <w:rPr>
          <w:rFonts w:ascii="Arial" w:eastAsia="Arial" w:hAnsi="Arial" w:cs="Arial"/>
          <w:color w:val="000000" w:themeColor="text1"/>
        </w:rPr>
      </w:pPr>
      <w:r>
        <w:rPr>
          <w:rFonts w:ascii="Arial" w:eastAsia="Arial" w:hAnsi="Arial" w:cs="Arial"/>
          <w:color w:val="000000" w:themeColor="text1"/>
        </w:rPr>
        <w:t>From RAN1’s understanding,</w:t>
      </w:r>
      <w:r w:rsidR="00461E8E">
        <w:rPr>
          <w:rFonts w:ascii="Arial" w:eastAsia="Arial" w:hAnsi="Arial" w:cs="Arial"/>
          <w:color w:val="000000" w:themeColor="text1"/>
        </w:rPr>
        <w:t xml:space="preserve"> </w:t>
      </w:r>
      <w:r>
        <w:rPr>
          <w:rFonts w:ascii="Arial" w:eastAsia="Arial" w:hAnsi="Arial" w:cs="Arial"/>
          <w:color w:val="000000" w:themeColor="text1"/>
        </w:rPr>
        <w:t>for a given measurement instance, the</w:t>
      </w:r>
      <w:r w:rsidRPr="0051257D">
        <w:rPr>
          <w:rFonts w:ascii="Arial" w:eastAsia="Arial" w:hAnsi="Arial" w:cs="Arial"/>
          <w:color w:val="000000" w:themeColor="text1"/>
        </w:rPr>
        <w:t xml:space="preserve"> applicable number of PFL for the gapless PRS measurement</w:t>
      </w:r>
      <w:r>
        <w:rPr>
          <w:rFonts w:ascii="Arial" w:eastAsia="Arial" w:hAnsi="Arial" w:cs="Arial"/>
          <w:color w:val="000000" w:themeColor="text1"/>
        </w:rPr>
        <w:t xml:space="preserve"> is one. </w:t>
      </w:r>
    </w:p>
    <w:p w14:paraId="05474669" w14:textId="77777777" w:rsidR="0051257D" w:rsidRPr="008208D0" w:rsidRDefault="0051257D" w:rsidP="12B0FEDC">
      <w:pPr>
        <w:spacing w:after="120"/>
        <w:rPr>
          <w:rFonts w:ascii="Arial" w:eastAsia="Arial" w:hAnsi="Arial" w:cs="Arial"/>
          <w:color w:val="000000" w:themeColor="text1"/>
        </w:rPr>
      </w:pPr>
    </w:p>
    <w:p w14:paraId="2D30A269" w14:textId="42D88F5B"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2. Actions:</w:t>
      </w:r>
    </w:p>
    <w:p w14:paraId="5D279537" w14:textId="79F958EF" w:rsidR="132B33F4" w:rsidRDefault="132B33F4" w:rsidP="12B0FEDC">
      <w:pPr>
        <w:spacing w:after="120"/>
        <w:ind w:left="1985" w:hanging="1985"/>
        <w:rPr>
          <w:rFonts w:ascii="Arial" w:eastAsia="Arial" w:hAnsi="Arial" w:cs="Arial"/>
          <w:color w:val="000000" w:themeColor="text1"/>
        </w:rPr>
      </w:pPr>
      <w:r w:rsidRPr="12B0FEDC">
        <w:rPr>
          <w:rFonts w:ascii="Arial" w:eastAsia="Arial" w:hAnsi="Arial" w:cs="Arial"/>
          <w:b/>
          <w:bCs/>
          <w:color w:val="000000" w:themeColor="text1"/>
        </w:rPr>
        <w:t>To RAN WG</w:t>
      </w:r>
      <w:r w:rsidR="00813BFF">
        <w:rPr>
          <w:rFonts w:ascii="Arial" w:eastAsia="Arial" w:hAnsi="Arial" w:cs="Arial"/>
          <w:b/>
          <w:bCs/>
          <w:color w:val="000000" w:themeColor="text1"/>
        </w:rPr>
        <w:t>4</w:t>
      </w:r>
      <w:r w:rsidRPr="12B0FEDC">
        <w:rPr>
          <w:rFonts w:ascii="Arial" w:eastAsia="Arial" w:hAnsi="Arial" w:cs="Arial"/>
          <w:b/>
          <w:bCs/>
          <w:color w:val="000000" w:themeColor="text1"/>
        </w:rPr>
        <w:t xml:space="preserve"> group.</w:t>
      </w:r>
    </w:p>
    <w:p w14:paraId="3AAE7844" w14:textId="165A2F50" w:rsidR="132B33F4" w:rsidRDefault="132B33F4" w:rsidP="12B0FEDC">
      <w:pPr>
        <w:spacing w:after="120"/>
        <w:ind w:left="993" w:hanging="993"/>
        <w:rPr>
          <w:rFonts w:ascii="Arial" w:eastAsia="Arial" w:hAnsi="Arial" w:cs="Arial"/>
          <w:color w:val="000000" w:themeColor="text1"/>
        </w:rPr>
      </w:pPr>
      <w:r w:rsidRPr="12B0FEDC">
        <w:rPr>
          <w:rFonts w:ascii="Arial" w:eastAsia="Arial" w:hAnsi="Arial" w:cs="Arial"/>
          <w:b/>
          <w:bCs/>
          <w:color w:val="000000" w:themeColor="text1"/>
        </w:rPr>
        <w:t xml:space="preserve">ACTION: </w:t>
      </w:r>
      <w:r>
        <w:tab/>
      </w:r>
      <w:r w:rsidRPr="12B0FEDC">
        <w:rPr>
          <w:rFonts w:ascii="Arial" w:eastAsia="Arial" w:hAnsi="Arial" w:cs="Arial"/>
          <w:b/>
          <w:bCs/>
          <w:color w:val="000000" w:themeColor="text1"/>
        </w:rPr>
        <w:t>RAN</w:t>
      </w:r>
      <w:r w:rsidR="00813BFF">
        <w:rPr>
          <w:rFonts w:ascii="Arial" w:eastAsia="Arial" w:hAnsi="Arial" w:cs="Arial"/>
          <w:b/>
          <w:bCs/>
          <w:color w:val="000000" w:themeColor="text1"/>
        </w:rPr>
        <w:t>1</w:t>
      </w:r>
      <w:r w:rsidRPr="12B0FEDC">
        <w:rPr>
          <w:rFonts w:ascii="Arial" w:eastAsia="Arial" w:hAnsi="Arial" w:cs="Arial"/>
          <w:b/>
          <w:bCs/>
          <w:color w:val="000000" w:themeColor="text1"/>
        </w:rPr>
        <w:t xml:space="preserve"> kindly </w:t>
      </w:r>
      <w:r w:rsidR="00813BFF">
        <w:rPr>
          <w:rFonts w:ascii="Arial" w:eastAsia="Arial" w:hAnsi="Arial" w:cs="Arial"/>
          <w:b/>
          <w:bCs/>
          <w:color w:val="000000" w:themeColor="text1"/>
        </w:rPr>
        <w:t>ask</w:t>
      </w:r>
      <w:r w:rsidRPr="12B0FEDC">
        <w:rPr>
          <w:rFonts w:ascii="Arial" w:eastAsia="Arial" w:hAnsi="Arial" w:cs="Arial"/>
          <w:b/>
          <w:bCs/>
          <w:color w:val="000000" w:themeColor="text1"/>
        </w:rPr>
        <w:t xml:space="preserve"> RAN</w:t>
      </w:r>
      <w:r w:rsidR="00813BFF">
        <w:rPr>
          <w:rFonts w:ascii="Arial" w:eastAsia="Arial" w:hAnsi="Arial" w:cs="Arial"/>
          <w:b/>
          <w:bCs/>
          <w:color w:val="000000" w:themeColor="text1"/>
        </w:rPr>
        <w:t>4</w:t>
      </w:r>
      <w:r w:rsidRPr="12B0FEDC">
        <w:rPr>
          <w:rFonts w:ascii="Arial" w:eastAsia="Arial" w:hAnsi="Arial" w:cs="Arial"/>
          <w:b/>
          <w:bCs/>
          <w:color w:val="000000" w:themeColor="text1"/>
        </w:rPr>
        <w:t xml:space="preserve"> to </w:t>
      </w:r>
      <w:r w:rsidR="00813BFF">
        <w:rPr>
          <w:rFonts w:ascii="Arial" w:eastAsia="Arial" w:hAnsi="Arial" w:cs="Arial"/>
          <w:b/>
          <w:bCs/>
          <w:color w:val="000000" w:themeColor="text1"/>
        </w:rPr>
        <w:t>take above information into account in their</w:t>
      </w:r>
      <w:r w:rsidR="00FE56EF">
        <w:rPr>
          <w:rFonts w:ascii="Arial" w:eastAsia="Arial" w:hAnsi="Arial" w:cs="Arial"/>
          <w:b/>
          <w:bCs/>
          <w:color w:val="000000" w:themeColor="text1"/>
        </w:rPr>
        <w:t xml:space="preserve"> </w:t>
      </w:r>
      <w:r w:rsidR="00FE56EF" w:rsidRPr="00FE56EF">
        <w:rPr>
          <w:rFonts w:ascii="Arial" w:eastAsia="Arial" w:hAnsi="Arial" w:cs="Arial" w:hint="eastAsia"/>
          <w:b/>
          <w:bCs/>
          <w:color w:val="000000" w:themeColor="text1"/>
        </w:rPr>
        <w:t>future</w:t>
      </w:r>
      <w:r w:rsidR="00FE56EF">
        <w:rPr>
          <w:rFonts w:ascii="Arial" w:eastAsia="Arial" w:hAnsi="Arial" w:cs="Arial"/>
          <w:b/>
          <w:bCs/>
          <w:color w:val="000000" w:themeColor="text1"/>
        </w:rPr>
        <w:t xml:space="preserve"> work</w:t>
      </w:r>
      <w:r w:rsidRPr="12B0FEDC">
        <w:rPr>
          <w:rFonts w:ascii="Arial" w:eastAsia="Arial" w:hAnsi="Arial" w:cs="Arial"/>
          <w:b/>
          <w:bCs/>
          <w:color w:val="000000" w:themeColor="text1"/>
        </w:rPr>
        <w:t>.</w:t>
      </w:r>
    </w:p>
    <w:p w14:paraId="307672C1" w14:textId="5AEA54B7" w:rsidR="132B33F4" w:rsidRDefault="132B33F4" w:rsidP="12B0FEDC">
      <w:pPr>
        <w:spacing w:after="120"/>
        <w:rPr>
          <w:rFonts w:ascii="Arial" w:eastAsia="Arial" w:hAnsi="Arial" w:cs="Arial"/>
          <w:color w:val="000000" w:themeColor="text1"/>
        </w:rPr>
      </w:pPr>
      <w:r>
        <w:lastRenderedPageBreak/>
        <w:br/>
      </w:r>
      <w:r w:rsidRPr="12B0FEDC">
        <w:rPr>
          <w:rFonts w:ascii="Arial" w:eastAsia="Arial" w:hAnsi="Arial" w:cs="Arial"/>
          <w:b/>
          <w:bCs/>
          <w:color w:val="000000" w:themeColor="text1"/>
        </w:rPr>
        <w:t>3. References:</w:t>
      </w:r>
    </w:p>
    <w:p w14:paraId="57BA4AC3" w14:textId="7C25D461" w:rsidR="12B0FEDC" w:rsidRDefault="00461E8E" w:rsidP="12B0FEDC">
      <w:pPr>
        <w:spacing w:after="120"/>
        <w:ind w:left="993" w:hanging="993"/>
        <w:rPr>
          <w:rFonts w:eastAsia="Arial" w:cs="Arial"/>
          <w:bCs/>
          <w:color w:val="000000" w:themeColor="text1"/>
          <w:sz w:val="22"/>
          <w:szCs w:val="22"/>
        </w:rPr>
      </w:pPr>
      <w:r w:rsidRPr="00461E8E">
        <w:rPr>
          <w:rFonts w:eastAsia="Arial" w:cs="Arial"/>
          <w:bCs/>
          <w:color w:val="000000" w:themeColor="text1"/>
          <w:sz w:val="22"/>
          <w:szCs w:val="22"/>
        </w:rPr>
        <w:t xml:space="preserve">[1] </w:t>
      </w:r>
      <w:r w:rsidRPr="00761600">
        <w:rPr>
          <w:rFonts w:eastAsia="Arial" w:cs="Arial"/>
          <w:bCs/>
          <w:color w:val="000000" w:themeColor="text1"/>
          <w:sz w:val="22"/>
          <w:szCs w:val="22"/>
        </w:rPr>
        <w:t>R4-2</w:t>
      </w:r>
      <w:r>
        <w:rPr>
          <w:rFonts w:eastAsia="Arial" w:cs="Arial"/>
          <w:bCs/>
          <w:color w:val="000000" w:themeColor="text1"/>
          <w:sz w:val="22"/>
          <w:szCs w:val="22"/>
        </w:rPr>
        <w:t xml:space="preserve">207098, </w:t>
      </w:r>
      <w:r w:rsidRPr="00461E8E">
        <w:rPr>
          <w:rFonts w:eastAsia="Arial" w:cs="Arial"/>
          <w:bCs/>
          <w:color w:val="000000" w:themeColor="text1"/>
          <w:sz w:val="22"/>
          <w:szCs w:val="22"/>
        </w:rPr>
        <w:t>on applicable number of PFL for the gapless PRS measurement, RAN4#102e</w:t>
      </w:r>
      <w:r>
        <w:rPr>
          <w:rFonts w:eastAsia="Arial" w:cs="Arial"/>
          <w:bCs/>
          <w:color w:val="000000" w:themeColor="text1"/>
          <w:sz w:val="22"/>
          <w:szCs w:val="22"/>
        </w:rPr>
        <w:t xml:space="preserve">. </w:t>
      </w:r>
    </w:p>
    <w:p w14:paraId="52518D71" w14:textId="77777777" w:rsidR="00461E8E" w:rsidRPr="00461E8E" w:rsidRDefault="00461E8E" w:rsidP="12B0FEDC">
      <w:pPr>
        <w:spacing w:after="120"/>
        <w:ind w:left="993" w:hanging="993"/>
        <w:rPr>
          <w:rFonts w:eastAsia="Arial" w:cs="Arial"/>
          <w:bCs/>
          <w:color w:val="000000" w:themeColor="text1"/>
          <w:sz w:val="22"/>
          <w:szCs w:val="22"/>
        </w:rPr>
      </w:pPr>
    </w:p>
    <w:p w14:paraId="19D6A489" w14:textId="5B75739F"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4. Date of Next TSG-RAN WG4 Meetings:</w:t>
      </w:r>
    </w:p>
    <w:p w14:paraId="52CBF35F" w14:textId="7D4FB10A" w:rsidR="132B33F4" w:rsidRDefault="132B33F4" w:rsidP="12B0FEDC">
      <w:pPr>
        <w:rPr>
          <w:rFonts w:ascii="Arial" w:eastAsia="Arial" w:hAnsi="Arial" w:cs="Arial"/>
          <w:color w:val="000000" w:themeColor="text1"/>
        </w:rPr>
      </w:pPr>
      <w:r w:rsidRPr="12B0FEDC">
        <w:rPr>
          <w:rFonts w:ascii="Arial" w:eastAsia="Arial" w:hAnsi="Arial" w:cs="Arial"/>
          <w:color w:val="000000" w:themeColor="text1"/>
        </w:rPr>
        <w:t>TSG RAN WG4 Meeting #</w:t>
      </w:r>
      <w:r w:rsidR="00FE56EF">
        <w:rPr>
          <w:rFonts w:ascii="Arial" w:eastAsia="Arial" w:hAnsi="Arial" w:cs="Arial"/>
          <w:color w:val="000000" w:themeColor="text1"/>
        </w:rPr>
        <w:t>110</w:t>
      </w:r>
      <w:r>
        <w:tab/>
      </w:r>
      <w:r>
        <w:tab/>
      </w:r>
      <w:r>
        <w:tab/>
      </w:r>
      <w:r w:rsidR="00FE56EF">
        <w:rPr>
          <w:rFonts w:ascii="Arial" w:eastAsia="Arial" w:hAnsi="Arial" w:cs="Arial"/>
          <w:color w:val="000000" w:themeColor="text1"/>
        </w:rPr>
        <w:t>22</w:t>
      </w:r>
      <w:r w:rsidR="000F3BE2" w:rsidRPr="000F3BE2">
        <w:rPr>
          <w:rFonts w:ascii="Arial" w:eastAsia="Arial" w:hAnsi="Arial" w:cs="Arial"/>
          <w:color w:val="000000" w:themeColor="text1"/>
          <w:vertAlign w:val="superscript"/>
        </w:rPr>
        <w:t>nd</w:t>
      </w:r>
      <w:r w:rsidR="00FE56EF">
        <w:rPr>
          <w:rFonts w:ascii="Arial" w:eastAsia="Arial" w:hAnsi="Arial" w:cs="Arial"/>
          <w:color w:val="000000" w:themeColor="text1"/>
        </w:rPr>
        <w:t xml:space="preserve"> August</w:t>
      </w:r>
      <w:r w:rsidR="00FE56EF" w:rsidRPr="12B0FEDC">
        <w:rPr>
          <w:rFonts w:ascii="Arial" w:eastAsia="Arial" w:hAnsi="Arial" w:cs="Arial"/>
          <w:color w:val="000000" w:themeColor="text1"/>
        </w:rPr>
        <w:t xml:space="preserve"> 202</w:t>
      </w:r>
      <w:r w:rsidR="00FE56EF">
        <w:rPr>
          <w:rFonts w:ascii="Arial" w:eastAsia="Arial" w:hAnsi="Arial" w:cs="Arial"/>
          <w:color w:val="000000" w:themeColor="text1"/>
        </w:rPr>
        <w:t>2</w:t>
      </w:r>
      <w:r w:rsidR="00FE56EF" w:rsidRPr="12B0FEDC">
        <w:rPr>
          <w:rFonts w:ascii="Arial" w:eastAsia="Arial" w:hAnsi="Arial" w:cs="Arial"/>
          <w:color w:val="000000" w:themeColor="text1"/>
        </w:rPr>
        <w:t xml:space="preserve"> – </w:t>
      </w:r>
      <w:r w:rsidR="00FE56EF">
        <w:rPr>
          <w:rFonts w:ascii="Arial" w:eastAsia="Arial" w:hAnsi="Arial" w:cs="Arial"/>
          <w:color w:val="000000" w:themeColor="text1"/>
        </w:rPr>
        <w:t>26</w:t>
      </w:r>
      <w:r w:rsidR="000F3BE2" w:rsidRPr="000F3BE2">
        <w:rPr>
          <w:rFonts w:ascii="Arial" w:eastAsia="Arial" w:hAnsi="Arial" w:cs="Arial"/>
          <w:color w:val="000000" w:themeColor="text1"/>
          <w:vertAlign w:val="superscript"/>
        </w:rPr>
        <w:t>th</w:t>
      </w:r>
      <w:r w:rsidR="000F3BE2">
        <w:rPr>
          <w:rFonts w:ascii="Arial" w:eastAsia="Arial" w:hAnsi="Arial" w:cs="Arial"/>
          <w:color w:val="000000" w:themeColor="text1"/>
        </w:rPr>
        <w:t xml:space="preserve"> </w:t>
      </w:r>
      <w:r w:rsidR="00FE56EF">
        <w:rPr>
          <w:rFonts w:ascii="Arial" w:eastAsia="Arial" w:hAnsi="Arial" w:cs="Arial"/>
          <w:color w:val="000000" w:themeColor="text1"/>
        </w:rPr>
        <w:t>August</w:t>
      </w:r>
      <w:r w:rsidR="00FE56EF" w:rsidRPr="12B0FEDC">
        <w:rPr>
          <w:rFonts w:ascii="Arial" w:eastAsia="Arial" w:hAnsi="Arial" w:cs="Arial"/>
          <w:color w:val="000000" w:themeColor="text1"/>
        </w:rPr>
        <w:t xml:space="preserve"> 202</w:t>
      </w:r>
      <w:r w:rsidR="00FE56EF">
        <w:rPr>
          <w:rFonts w:ascii="Arial" w:eastAsia="Arial" w:hAnsi="Arial" w:cs="Arial"/>
          <w:color w:val="000000" w:themeColor="text1"/>
        </w:rPr>
        <w:t>2</w:t>
      </w:r>
      <w:r w:rsidR="00FE56EF">
        <w:tab/>
      </w:r>
      <w:r w:rsidR="00FE56EF">
        <w:tab/>
      </w:r>
      <w:r w:rsidR="00FE56EF" w:rsidRPr="00EB0116">
        <w:rPr>
          <w:rFonts w:ascii="Arial" w:eastAsia="Arial" w:hAnsi="Arial" w:cs="Arial"/>
          <w:color w:val="000000" w:themeColor="text1"/>
        </w:rPr>
        <w:t>Toulouse, France</w:t>
      </w:r>
      <w:r w:rsidR="00D40FBF">
        <w:rPr>
          <w:rFonts w:ascii="Arial" w:eastAsia="Arial" w:hAnsi="Arial" w:cs="Arial"/>
          <w:color w:val="000000" w:themeColor="text1"/>
        </w:rPr>
        <w:tab/>
      </w:r>
      <w:r w:rsidR="00D40FBF">
        <w:rPr>
          <w:rFonts w:ascii="Arial" w:eastAsia="Arial" w:hAnsi="Arial" w:cs="Arial"/>
          <w:color w:val="000000" w:themeColor="text1"/>
        </w:rPr>
        <w:tab/>
      </w:r>
    </w:p>
    <w:p w14:paraId="24254C52" w14:textId="5E89FF7D" w:rsidR="000F3BE2" w:rsidRDefault="000F3BE2" w:rsidP="000F3BE2">
      <w:pPr>
        <w:spacing w:after="120"/>
        <w:ind w:left="2268" w:hanging="2268"/>
        <w:rPr>
          <w:rFonts w:ascii="Arial" w:hAnsi="Arial" w:cs="Arial"/>
          <w:bCs/>
        </w:rPr>
      </w:pPr>
      <w:r>
        <w:rPr>
          <w:rFonts w:ascii="Arial" w:hAnsi="Arial" w:cs="Arial"/>
          <w:bCs/>
        </w:rPr>
        <w:t>TSG RAN1 Meeting #110bis-e</w:t>
      </w:r>
      <w:r w:rsidRPr="00B310FC">
        <w:rPr>
          <w:rFonts w:ascii="Arial" w:hAnsi="Arial" w:cs="Arial"/>
          <w:bCs/>
        </w:rPr>
        <w:tab/>
      </w:r>
      <w:r>
        <w:rPr>
          <w:rFonts w:ascii="Arial" w:hAnsi="Arial" w:cs="Arial"/>
          <w:bCs/>
        </w:rPr>
        <w:t xml:space="preserve">          </w:t>
      </w:r>
      <w:r>
        <w:rPr>
          <w:rFonts w:ascii="Arial" w:hAnsi="Arial" w:cs="Arial"/>
          <w:bCs/>
        </w:rPr>
        <w:t>10</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October</w:t>
      </w:r>
      <w:r>
        <w:rPr>
          <w:rFonts w:ascii="Arial" w:hAnsi="Arial" w:cs="Arial"/>
          <w:bCs/>
        </w:rPr>
        <w:t xml:space="preserve"> </w:t>
      </w:r>
      <w:r>
        <w:rPr>
          <w:rFonts w:ascii="Arial" w:hAnsi="Arial" w:cs="Arial"/>
          <w:bCs/>
        </w:rPr>
        <w:t xml:space="preserve">2022 </w:t>
      </w:r>
      <w:r w:rsidRPr="00B310FC">
        <w:rPr>
          <w:rFonts w:ascii="Arial" w:hAnsi="Arial" w:cs="Arial"/>
          <w:bCs/>
        </w:rPr>
        <w:t xml:space="preserve">– </w:t>
      </w:r>
      <w:r>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October 2022</w:t>
      </w:r>
      <w:r w:rsidRPr="00B310FC">
        <w:rPr>
          <w:rFonts w:ascii="Arial" w:hAnsi="Arial" w:cs="Arial"/>
          <w:bCs/>
        </w:rPr>
        <w:tab/>
      </w:r>
      <w:r w:rsidRPr="00B310FC">
        <w:rPr>
          <w:rFonts w:ascii="Arial" w:hAnsi="Arial" w:cs="Arial"/>
          <w:bCs/>
        </w:rPr>
        <w:tab/>
      </w:r>
      <w:r>
        <w:rPr>
          <w:rFonts w:ascii="Arial" w:hAnsi="Arial" w:cs="Arial"/>
          <w:bCs/>
        </w:rPr>
        <w:t xml:space="preserve"> </w:t>
      </w:r>
      <w:r>
        <w:rPr>
          <w:rFonts w:ascii="Arial" w:hAnsi="Arial" w:cs="Arial"/>
          <w:bCs/>
        </w:rPr>
        <w:t>e-Meeting</w:t>
      </w:r>
    </w:p>
    <w:p w14:paraId="628F5FDC" w14:textId="651CFD10" w:rsidR="12B0FEDC" w:rsidRDefault="12B0FEDC" w:rsidP="000F3BE2">
      <w:pPr>
        <w:spacing w:after="120"/>
        <w:rPr>
          <w:sz w:val="24"/>
          <w:szCs w:val="24"/>
        </w:rPr>
      </w:pPr>
    </w:p>
    <w:sectPr w:rsidR="12B0FEDC"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F4F7" w14:textId="77777777" w:rsidR="00051F8F" w:rsidRDefault="00051F8F">
      <w:r>
        <w:separator/>
      </w:r>
    </w:p>
  </w:endnote>
  <w:endnote w:type="continuationSeparator" w:id="0">
    <w:p w14:paraId="2C68102C" w14:textId="77777777" w:rsidR="00051F8F" w:rsidRDefault="00051F8F">
      <w:r>
        <w:continuationSeparator/>
      </w:r>
    </w:p>
  </w:endnote>
  <w:endnote w:type="continuationNotice" w:id="1">
    <w:p w14:paraId="753F308E" w14:textId="77777777" w:rsidR="00051F8F" w:rsidRDefault="0005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3F42" w14:textId="77777777" w:rsidR="00051F8F" w:rsidRDefault="00051F8F">
      <w:r>
        <w:separator/>
      </w:r>
    </w:p>
  </w:footnote>
  <w:footnote w:type="continuationSeparator" w:id="0">
    <w:p w14:paraId="5CD9E98C" w14:textId="77777777" w:rsidR="00051F8F" w:rsidRDefault="00051F8F">
      <w:r>
        <w:continuationSeparator/>
      </w:r>
    </w:p>
  </w:footnote>
  <w:footnote w:type="continuationNotice" w:id="1">
    <w:p w14:paraId="1DBB5A89" w14:textId="77777777" w:rsidR="00051F8F" w:rsidRDefault="00051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FA4D7D"/>
    <w:multiLevelType w:val="hybridMultilevel"/>
    <w:tmpl w:val="14102E94"/>
    <w:lvl w:ilvl="0" w:tplc="41B88FB6">
      <w:start w:val="1"/>
      <w:numFmt w:val="bullet"/>
      <w:lvlText w:val=""/>
      <w:lvlJc w:val="left"/>
      <w:pPr>
        <w:ind w:left="720" w:hanging="360"/>
      </w:pPr>
      <w:rPr>
        <w:rFonts w:ascii="Symbol" w:hAnsi="Symbol" w:hint="default"/>
      </w:rPr>
    </w:lvl>
    <w:lvl w:ilvl="1" w:tplc="D86679A0">
      <w:start w:val="1"/>
      <w:numFmt w:val="bullet"/>
      <w:lvlText w:val="o"/>
      <w:lvlJc w:val="left"/>
      <w:pPr>
        <w:ind w:left="1440" w:hanging="360"/>
      </w:pPr>
      <w:rPr>
        <w:rFonts w:ascii="Courier New" w:hAnsi="Courier New" w:hint="default"/>
      </w:rPr>
    </w:lvl>
    <w:lvl w:ilvl="2" w:tplc="8D023150">
      <w:start w:val="1"/>
      <w:numFmt w:val="bullet"/>
      <w:lvlText w:val=""/>
      <w:lvlJc w:val="left"/>
      <w:pPr>
        <w:ind w:left="2160" w:hanging="360"/>
      </w:pPr>
      <w:rPr>
        <w:rFonts w:ascii="Wingdings" w:hAnsi="Wingdings" w:hint="default"/>
      </w:rPr>
    </w:lvl>
    <w:lvl w:ilvl="3" w:tplc="1AE068FE">
      <w:start w:val="1"/>
      <w:numFmt w:val="bullet"/>
      <w:lvlText w:val=""/>
      <w:lvlJc w:val="left"/>
      <w:pPr>
        <w:ind w:left="2880" w:hanging="360"/>
      </w:pPr>
      <w:rPr>
        <w:rFonts w:ascii="Symbol" w:hAnsi="Symbol" w:hint="default"/>
      </w:rPr>
    </w:lvl>
    <w:lvl w:ilvl="4" w:tplc="3DA09FE8">
      <w:start w:val="1"/>
      <w:numFmt w:val="bullet"/>
      <w:lvlText w:val="o"/>
      <w:lvlJc w:val="left"/>
      <w:pPr>
        <w:ind w:left="3600" w:hanging="360"/>
      </w:pPr>
      <w:rPr>
        <w:rFonts w:ascii="Courier New" w:hAnsi="Courier New" w:hint="default"/>
      </w:rPr>
    </w:lvl>
    <w:lvl w:ilvl="5" w:tplc="19AEB14E">
      <w:start w:val="1"/>
      <w:numFmt w:val="bullet"/>
      <w:lvlText w:val=""/>
      <w:lvlJc w:val="left"/>
      <w:pPr>
        <w:ind w:left="4320" w:hanging="360"/>
      </w:pPr>
      <w:rPr>
        <w:rFonts w:ascii="Wingdings" w:hAnsi="Wingdings" w:hint="default"/>
      </w:rPr>
    </w:lvl>
    <w:lvl w:ilvl="6" w:tplc="AD32DA04">
      <w:start w:val="1"/>
      <w:numFmt w:val="bullet"/>
      <w:lvlText w:val=""/>
      <w:lvlJc w:val="left"/>
      <w:pPr>
        <w:ind w:left="5040" w:hanging="360"/>
      </w:pPr>
      <w:rPr>
        <w:rFonts w:ascii="Symbol" w:hAnsi="Symbol" w:hint="default"/>
      </w:rPr>
    </w:lvl>
    <w:lvl w:ilvl="7" w:tplc="87C0305C">
      <w:start w:val="1"/>
      <w:numFmt w:val="bullet"/>
      <w:lvlText w:val="o"/>
      <w:lvlJc w:val="left"/>
      <w:pPr>
        <w:ind w:left="5760" w:hanging="360"/>
      </w:pPr>
      <w:rPr>
        <w:rFonts w:ascii="Courier New" w:hAnsi="Courier New" w:hint="default"/>
      </w:rPr>
    </w:lvl>
    <w:lvl w:ilvl="8" w:tplc="967A5E1C">
      <w:start w:val="1"/>
      <w:numFmt w:val="bullet"/>
      <w:lvlText w:val=""/>
      <w:lvlJc w:val="left"/>
      <w:pPr>
        <w:ind w:left="6480" w:hanging="360"/>
      </w:pPr>
      <w:rPr>
        <w:rFonts w:ascii="Wingdings" w:hAnsi="Wingdings" w:hint="default"/>
      </w:rPr>
    </w:lvl>
  </w:abstractNum>
  <w:abstractNum w:abstractNumId="7"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4572"/>
    <w:multiLevelType w:val="hybridMultilevel"/>
    <w:tmpl w:val="C590CD78"/>
    <w:lvl w:ilvl="0" w:tplc="16B6BD84">
      <w:start w:val="1"/>
      <w:numFmt w:val="decimal"/>
      <w:lvlText w:val="[%1] "/>
      <w:lvlJc w:val="left"/>
      <w:pPr>
        <w:ind w:left="720" w:hanging="360"/>
      </w:pPr>
    </w:lvl>
    <w:lvl w:ilvl="1" w:tplc="22C65758">
      <w:start w:val="1"/>
      <w:numFmt w:val="lowerLetter"/>
      <w:lvlText w:val="%2."/>
      <w:lvlJc w:val="left"/>
      <w:pPr>
        <w:ind w:left="1440" w:hanging="360"/>
      </w:pPr>
    </w:lvl>
    <w:lvl w:ilvl="2" w:tplc="4EAC8F00">
      <w:start w:val="1"/>
      <w:numFmt w:val="lowerRoman"/>
      <w:lvlText w:val="%3."/>
      <w:lvlJc w:val="right"/>
      <w:pPr>
        <w:ind w:left="2160" w:hanging="180"/>
      </w:pPr>
    </w:lvl>
    <w:lvl w:ilvl="3" w:tplc="549EC852">
      <w:start w:val="1"/>
      <w:numFmt w:val="decimal"/>
      <w:lvlText w:val="%4."/>
      <w:lvlJc w:val="left"/>
      <w:pPr>
        <w:ind w:left="2880" w:hanging="360"/>
      </w:pPr>
    </w:lvl>
    <w:lvl w:ilvl="4" w:tplc="75D283C2">
      <w:start w:val="1"/>
      <w:numFmt w:val="lowerLetter"/>
      <w:lvlText w:val="%5."/>
      <w:lvlJc w:val="left"/>
      <w:pPr>
        <w:ind w:left="3600" w:hanging="360"/>
      </w:pPr>
    </w:lvl>
    <w:lvl w:ilvl="5" w:tplc="2F1A7F22">
      <w:start w:val="1"/>
      <w:numFmt w:val="lowerRoman"/>
      <w:lvlText w:val="%6."/>
      <w:lvlJc w:val="right"/>
      <w:pPr>
        <w:ind w:left="4320" w:hanging="180"/>
      </w:pPr>
    </w:lvl>
    <w:lvl w:ilvl="6" w:tplc="AC6A12CA">
      <w:start w:val="1"/>
      <w:numFmt w:val="decimal"/>
      <w:lvlText w:val="%7."/>
      <w:lvlJc w:val="left"/>
      <w:pPr>
        <w:ind w:left="5040" w:hanging="360"/>
      </w:pPr>
    </w:lvl>
    <w:lvl w:ilvl="7" w:tplc="1D7A1C58">
      <w:start w:val="1"/>
      <w:numFmt w:val="lowerLetter"/>
      <w:lvlText w:val="%8."/>
      <w:lvlJc w:val="left"/>
      <w:pPr>
        <w:ind w:left="5760" w:hanging="360"/>
      </w:pPr>
    </w:lvl>
    <w:lvl w:ilvl="8" w:tplc="DDACA162">
      <w:start w:val="1"/>
      <w:numFmt w:val="lowerRoman"/>
      <w:lvlText w:val="%9."/>
      <w:lvlJc w:val="right"/>
      <w:pPr>
        <w:ind w:left="6480" w:hanging="180"/>
      </w:pPr>
    </w:lvl>
  </w:abstractNum>
  <w:abstractNum w:abstractNumId="22"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FF074D"/>
    <w:multiLevelType w:val="hybridMultilevel"/>
    <w:tmpl w:val="AAE24FA4"/>
    <w:lvl w:ilvl="0" w:tplc="CEE81E64">
      <w:start w:val="1"/>
      <w:numFmt w:val="bullet"/>
      <w:lvlText w:val=""/>
      <w:lvlJc w:val="left"/>
      <w:pPr>
        <w:ind w:left="720" w:hanging="360"/>
      </w:pPr>
      <w:rPr>
        <w:rFonts w:ascii="Symbol" w:hAnsi="Symbol" w:hint="default"/>
      </w:rPr>
    </w:lvl>
    <w:lvl w:ilvl="1" w:tplc="65B41524">
      <w:start w:val="1"/>
      <w:numFmt w:val="bullet"/>
      <w:lvlText w:val="o"/>
      <w:lvlJc w:val="left"/>
      <w:pPr>
        <w:ind w:left="1440" w:hanging="360"/>
      </w:pPr>
      <w:rPr>
        <w:rFonts w:ascii="Courier New" w:hAnsi="Courier New" w:hint="default"/>
      </w:rPr>
    </w:lvl>
    <w:lvl w:ilvl="2" w:tplc="6AE2CC44">
      <w:start w:val="1"/>
      <w:numFmt w:val="bullet"/>
      <w:lvlText w:val=""/>
      <w:lvlJc w:val="left"/>
      <w:pPr>
        <w:ind w:left="2160" w:hanging="360"/>
      </w:pPr>
      <w:rPr>
        <w:rFonts w:ascii="Wingdings" w:hAnsi="Wingdings" w:hint="default"/>
      </w:rPr>
    </w:lvl>
    <w:lvl w:ilvl="3" w:tplc="DAC41D58">
      <w:start w:val="1"/>
      <w:numFmt w:val="bullet"/>
      <w:lvlText w:val=""/>
      <w:lvlJc w:val="left"/>
      <w:pPr>
        <w:ind w:left="2880" w:hanging="360"/>
      </w:pPr>
      <w:rPr>
        <w:rFonts w:ascii="Symbol" w:hAnsi="Symbol" w:hint="default"/>
      </w:rPr>
    </w:lvl>
    <w:lvl w:ilvl="4" w:tplc="FE1CFC08">
      <w:start w:val="1"/>
      <w:numFmt w:val="bullet"/>
      <w:lvlText w:val="o"/>
      <w:lvlJc w:val="left"/>
      <w:pPr>
        <w:ind w:left="3600" w:hanging="360"/>
      </w:pPr>
      <w:rPr>
        <w:rFonts w:ascii="Courier New" w:hAnsi="Courier New" w:hint="default"/>
      </w:rPr>
    </w:lvl>
    <w:lvl w:ilvl="5" w:tplc="5A7839F8">
      <w:start w:val="1"/>
      <w:numFmt w:val="bullet"/>
      <w:lvlText w:val=""/>
      <w:lvlJc w:val="left"/>
      <w:pPr>
        <w:ind w:left="4320" w:hanging="360"/>
      </w:pPr>
      <w:rPr>
        <w:rFonts w:ascii="Wingdings" w:hAnsi="Wingdings" w:hint="default"/>
      </w:rPr>
    </w:lvl>
    <w:lvl w:ilvl="6" w:tplc="48B0D424">
      <w:start w:val="1"/>
      <w:numFmt w:val="bullet"/>
      <w:lvlText w:val=""/>
      <w:lvlJc w:val="left"/>
      <w:pPr>
        <w:ind w:left="5040" w:hanging="360"/>
      </w:pPr>
      <w:rPr>
        <w:rFonts w:ascii="Symbol" w:hAnsi="Symbol" w:hint="default"/>
      </w:rPr>
    </w:lvl>
    <w:lvl w:ilvl="7" w:tplc="220455F6">
      <w:start w:val="1"/>
      <w:numFmt w:val="bullet"/>
      <w:lvlText w:val="o"/>
      <w:lvlJc w:val="left"/>
      <w:pPr>
        <w:ind w:left="5760" w:hanging="360"/>
      </w:pPr>
      <w:rPr>
        <w:rFonts w:ascii="Courier New" w:hAnsi="Courier New" w:hint="default"/>
      </w:rPr>
    </w:lvl>
    <w:lvl w:ilvl="8" w:tplc="2DA6840E">
      <w:start w:val="1"/>
      <w:numFmt w:val="bullet"/>
      <w:lvlText w:val=""/>
      <w:lvlJc w:val="left"/>
      <w:pPr>
        <w:ind w:left="6480" w:hanging="360"/>
      </w:pPr>
      <w:rPr>
        <w:rFonts w:ascii="Wingdings" w:hAnsi="Wingdings" w:hint="default"/>
      </w:rPr>
    </w:lvl>
  </w:abstractNum>
  <w:abstractNum w:abstractNumId="27"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1"/>
  </w:num>
  <w:num w:numId="2">
    <w:abstractNumId w:val="26"/>
  </w:num>
  <w:num w:numId="3">
    <w:abstractNumId w:val="32"/>
  </w:num>
  <w:num w:numId="4">
    <w:abstractNumId w:val="34"/>
  </w:num>
  <w:num w:numId="5">
    <w:abstractNumId w:val="14"/>
  </w:num>
  <w:num w:numId="6">
    <w:abstractNumId w:val="15"/>
  </w:num>
  <w:num w:numId="7">
    <w:abstractNumId w:val="1"/>
  </w:num>
  <w:num w:numId="8">
    <w:abstractNumId w:val="16"/>
  </w:num>
  <w:num w:numId="9">
    <w:abstractNumId w:val="8"/>
  </w:num>
  <w:num w:numId="10">
    <w:abstractNumId w:val="3"/>
  </w:num>
  <w:num w:numId="11">
    <w:abstractNumId w:val="0"/>
  </w:num>
  <w:num w:numId="12">
    <w:abstractNumId w:val="33"/>
  </w:num>
  <w:num w:numId="13">
    <w:abstractNumId w:val="2"/>
  </w:num>
  <w:num w:numId="14">
    <w:abstractNumId w:val="19"/>
  </w:num>
  <w:num w:numId="15">
    <w:abstractNumId w:val="12"/>
  </w:num>
  <w:num w:numId="16">
    <w:abstractNumId w:val="35"/>
  </w:num>
  <w:num w:numId="17">
    <w:abstractNumId w:val="9"/>
  </w:num>
  <w:num w:numId="18">
    <w:abstractNumId w:val="30"/>
  </w:num>
  <w:num w:numId="19">
    <w:abstractNumId w:val="22"/>
  </w:num>
  <w:num w:numId="20">
    <w:abstractNumId w:val="13"/>
  </w:num>
  <w:num w:numId="21">
    <w:abstractNumId w:val="24"/>
  </w:num>
  <w:num w:numId="22">
    <w:abstractNumId w:val="11"/>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8"/>
  </w:num>
  <w:num w:numId="26">
    <w:abstractNumId w:val="27"/>
  </w:num>
  <w:num w:numId="27">
    <w:abstractNumId w:val="23"/>
  </w:num>
  <w:num w:numId="28">
    <w:abstractNumId w:val="23"/>
    <w:lvlOverride w:ilvl="0">
      <w:startOverride w:val="1"/>
    </w:lvlOverride>
  </w:num>
  <w:num w:numId="29">
    <w:abstractNumId w:val="23"/>
  </w:num>
  <w:num w:numId="30">
    <w:abstractNumId w:val="23"/>
    <w:lvlOverride w:ilvl="0">
      <w:startOverride w:val="1"/>
    </w:lvlOverride>
  </w:num>
  <w:num w:numId="31">
    <w:abstractNumId w:val="23"/>
    <w:lvlOverride w:ilvl="0">
      <w:startOverride w:val="1"/>
    </w:lvlOverride>
  </w:num>
  <w:num w:numId="32">
    <w:abstractNumId w:val="17"/>
  </w:num>
  <w:num w:numId="33">
    <w:abstractNumId w:val="17"/>
    <w:lvlOverride w:ilvl="0">
      <w:startOverride w:val="1"/>
    </w:lvlOverride>
  </w:num>
  <w:num w:numId="34">
    <w:abstractNumId w:val="28"/>
  </w:num>
  <w:num w:numId="35">
    <w:abstractNumId w:val="10"/>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31"/>
  </w:num>
  <w:num w:numId="41">
    <w:abstractNumId w:val="29"/>
  </w:num>
  <w:num w:numId="42">
    <w:abstractNumId w:val="25"/>
  </w:num>
  <w:num w:numId="43">
    <w:abstractNumId w:val="20"/>
  </w:num>
  <w:num w:numId="44">
    <w:abstractNumId w:val="5"/>
  </w:num>
  <w:num w:numId="45">
    <w:abstractNumId w:val="17"/>
    <w:lvlOverride w:ilvl="0">
      <w:startOverride w:val="1"/>
    </w:lvlOverride>
  </w:num>
  <w:num w:numId="46">
    <w:abstractNumId w:val="4"/>
  </w:num>
  <w:num w:numId="47">
    <w:abstractNumId w:val="6"/>
  </w:num>
  <w:num w:numId="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1F8F"/>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3BE2"/>
    <w:rsid w:val="000F41D7"/>
    <w:rsid w:val="000F4794"/>
    <w:rsid w:val="000F497D"/>
    <w:rsid w:val="000F5841"/>
    <w:rsid w:val="000F747A"/>
    <w:rsid w:val="000F7745"/>
    <w:rsid w:val="001021FB"/>
    <w:rsid w:val="0010321F"/>
    <w:rsid w:val="001049D7"/>
    <w:rsid w:val="00105211"/>
    <w:rsid w:val="00107087"/>
    <w:rsid w:val="00107F1E"/>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55F03"/>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1E06"/>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24A6"/>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1E8E"/>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257D"/>
    <w:rsid w:val="005128B3"/>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2F71"/>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5316"/>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77E27"/>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1600"/>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3BFF"/>
    <w:rsid w:val="0081464A"/>
    <w:rsid w:val="00816118"/>
    <w:rsid w:val="0081738C"/>
    <w:rsid w:val="008208D0"/>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2A97"/>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1A8D"/>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1C2B"/>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4576B"/>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97AE5"/>
    <w:rsid w:val="00CA1489"/>
    <w:rsid w:val="00CA26B7"/>
    <w:rsid w:val="00CA5819"/>
    <w:rsid w:val="00CA5EE1"/>
    <w:rsid w:val="00CA7370"/>
    <w:rsid w:val="00CB1FF2"/>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C80"/>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0FBF"/>
    <w:rsid w:val="00D448BE"/>
    <w:rsid w:val="00D50255"/>
    <w:rsid w:val="00D52A31"/>
    <w:rsid w:val="00D5430A"/>
    <w:rsid w:val="00D55BA7"/>
    <w:rsid w:val="00D56361"/>
    <w:rsid w:val="00D5654A"/>
    <w:rsid w:val="00D60A2B"/>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5EDE"/>
    <w:rsid w:val="00D86251"/>
    <w:rsid w:val="00D930A2"/>
    <w:rsid w:val="00D94C93"/>
    <w:rsid w:val="00D94E61"/>
    <w:rsid w:val="00D95BD4"/>
    <w:rsid w:val="00D96FD0"/>
    <w:rsid w:val="00D97642"/>
    <w:rsid w:val="00DA43DE"/>
    <w:rsid w:val="00DA4BAF"/>
    <w:rsid w:val="00DA5527"/>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0F9"/>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1306"/>
    <w:rsid w:val="00E831C4"/>
    <w:rsid w:val="00E83649"/>
    <w:rsid w:val="00E904BA"/>
    <w:rsid w:val="00E917F1"/>
    <w:rsid w:val="00E92EFD"/>
    <w:rsid w:val="00E93E7B"/>
    <w:rsid w:val="00E966FA"/>
    <w:rsid w:val="00EA0174"/>
    <w:rsid w:val="00EA0242"/>
    <w:rsid w:val="00EA0416"/>
    <w:rsid w:val="00EA2F5C"/>
    <w:rsid w:val="00EA356F"/>
    <w:rsid w:val="00EA4941"/>
    <w:rsid w:val="00EB0116"/>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A64BB"/>
    <w:rsid w:val="00FB0441"/>
    <w:rsid w:val="00FB6386"/>
    <w:rsid w:val="00FC133D"/>
    <w:rsid w:val="00FC14A3"/>
    <w:rsid w:val="00FC26F4"/>
    <w:rsid w:val="00FC3A1D"/>
    <w:rsid w:val="00FC3D83"/>
    <w:rsid w:val="00FC3F7D"/>
    <w:rsid w:val="00FC76CF"/>
    <w:rsid w:val="00FD0A39"/>
    <w:rsid w:val="00FD19EF"/>
    <w:rsid w:val="00FE274A"/>
    <w:rsid w:val="00FE281C"/>
    <w:rsid w:val="00FE3AAC"/>
    <w:rsid w:val="00FE56EF"/>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586E3"/>
  <w15:docId w15:val="{2DB5A580-7E65-4865-B3B7-CFF58216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3"/>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07087"/>
    <w:rPr>
      <w:rFonts w:ascii="Times New Roman" w:eastAsia="宋体"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宋体"/>
      <w:i/>
      <w:color w:val="0000FF"/>
      <w:lang w:val="en-GB" w:eastAsia="en-US"/>
    </w:rPr>
  </w:style>
  <w:style w:type="paragraph" w:customStyle="1" w:styleId="Bulletedo1">
    <w:name w:val="Bulleted o 1"/>
    <w:basedOn w:val="Normal"/>
    <w:rsid w:val="00107087"/>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宋体"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宋体"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1">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0">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宋体" w:hAnsi="Times New Roman"/>
      <w:sz w:val="22"/>
      <w:lang w:val="en-US" w:eastAsia="zh-CN"/>
    </w:rPr>
  </w:style>
  <w:style w:type="paragraph" w:customStyle="1" w:styleId="Proposal">
    <w:name w:val="Proposal"/>
    <w:basedOn w:val="BodyText"/>
    <w:qFormat/>
    <w:rsid w:val="00E75650"/>
    <w:pPr>
      <w:numPr>
        <w:numId w:val="23"/>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4"/>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1362">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q1005.xiong@samsung.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dc:description/>
  <cp:lastModifiedBy>Qi Xiong/PHY Research &amp; Standard Lab /SRC-Beijing/Staff Engineer/Samsung Electronics</cp:lastModifiedBy>
  <cp:revision>5</cp:revision>
  <cp:lastPrinted>1900-01-01T17:00:00Z</cp:lastPrinted>
  <dcterms:created xsi:type="dcterms:W3CDTF">2022-03-02T08:21:00Z</dcterms:created>
  <dcterms:modified xsi:type="dcterms:W3CDTF">2022-04-25T02:36:00Z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